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A0" w:rsidRDefault="00683466" w:rsidP="002B53A0">
      <w:pPr>
        <w:pStyle w:val="Ttol6"/>
        <w:rPr>
          <w:rFonts w:ascii="Calibri" w:eastAsia="Calibri" w:hAnsi="Calibri"/>
          <w:bCs/>
          <w:sz w:val="24"/>
          <w:szCs w:val="24"/>
          <w:u w:val="single"/>
        </w:rPr>
      </w:pPr>
      <w:r>
        <w:rPr>
          <w:rFonts w:ascii="Calibri" w:eastAsia="Calibri" w:hAnsi="Calibri"/>
          <w:bCs/>
          <w:sz w:val="24"/>
          <w:szCs w:val="24"/>
          <w:u w:val="single"/>
        </w:rPr>
        <w:t xml:space="preserve">Tarragona, </w:t>
      </w:r>
      <w:r w:rsidR="00AB57AE">
        <w:rPr>
          <w:rFonts w:ascii="Calibri" w:eastAsia="Calibri" w:hAnsi="Calibri"/>
          <w:bCs/>
          <w:sz w:val="24"/>
          <w:szCs w:val="24"/>
          <w:u w:val="single"/>
        </w:rPr>
        <w:t>29 de maig</w:t>
      </w:r>
      <w:r w:rsidR="002B53A0">
        <w:rPr>
          <w:rFonts w:ascii="Calibri" w:eastAsia="Calibri" w:hAnsi="Calibri"/>
          <w:bCs/>
          <w:sz w:val="24"/>
          <w:szCs w:val="24"/>
          <w:u w:val="single"/>
        </w:rPr>
        <w:t xml:space="preserve"> de 201</w:t>
      </w:r>
      <w:r w:rsidR="00100480">
        <w:rPr>
          <w:rFonts w:ascii="Calibri" w:eastAsia="Calibri" w:hAnsi="Calibri"/>
          <w:bCs/>
          <w:sz w:val="24"/>
          <w:szCs w:val="24"/>
          <w:u w:val="single"/>
        </w:rPr>
        <w:t>8</w:t>
      </w:r>
    </w:p>
    <w:p w:rsidR="002B53A0" w:rsidRPr="00364103" w:rsidRDefault="00597276" w:rsidP="002B53A0">
      <w:pPr>
        <w:spacing w:before="120" w:after="120"/>
        <w:rPr>
          <w:b/>
          <w:i/>
          <w:color w:val="FF0000"/>
        </w:rPr>
      </w:pPr>
      <w:r>
        <w:rPr>
          <w:b/>
          <w:i/>
          <w:color w:val="FF0000"/>
        </w:rPr>
        <w:t>Informacions URV</w:t>
      </w:r>
    </w:p>
    <w:p w:rsidR="00AB57AE" w:rsidRPr="00AB57AE" w:rsidRDefault="00AB57AE" w:rsidP="00AB57AE">
      <w:pPr>
        <w:rPr>
          <w:rFonts w:eastAsia="DejaVu Sans" w:cs="Mangal"/>
          <w:i/>
          <w:iCs/>
          <w:color w:val="3333CC"/>
          <w:lang w:eastAsia="zh-CN" w:bidi="hi-IN"/>
        </w:rPr>
      </w:pPr>
      <w:r>
        <w:rPr>
          <w:b/>
          <w:sz w:val="28"/>
          <w:szCs w:val="28"/>
          <w:u w:val="single"/>
        </w:rPr>
        <w:t xml:space="preserve">L’Orquestra </w:t>
      </w:r>
      <w:r w:rsidR="00CD4C56">
        <w:rPr>
          <w:b/>
          <w:sz w:val="28"/>
          <w:szCs w:val="28"/>
          <w:u w:val="single"/>
        </w:rPr>
        <w:t xml:space="preserve">URV </w:t>
      </w:r>
      <w:r>
        <w:rPr>
          <w:b/>
          <w:sz w:val="28"/>
          <w:szCs w:val="28"/>
          <w:u w:val="single"/>
        </w:rPr>
        <w:t>i la Banda de</w:t>
      </w:r>
      <w:r w:rsidR="00CD4C56">
        <w:rPr>
          <w:b/>
          <w:sz w:val="28"/>
          <w:szCs w:val="28"/>
          <w:u w:val="single"/>
        </w:rPr>
        <w:t xml:space="preserve"> Música de</w:t>
      </w:r>
      <w:r>
        <w:rPr>
          <w:b/>
          <w:sz w:val="28"/>
          <w:szCs w:val="28"/>
          <w:u w:val="single"/>
        </w:rPr>
        <w:t xml:space="preserve"> la URV e</w:t>
      </w:r>
      <w:r w:rsidRPr="00AB57AE">
        <w:rPr>
          <w:b/>
          <w:sz w:val="28"/>
          <w:szCs w:val="28"/>
          <w:u w:val="single"/>
        </w:rPr>
        <w:t>stren</w:t>
      </w:r>
      <w:r>
        <w:rPr>
          <w:b/>
          <w:sz w:val="28"/>
          <w:szCs w:val="28"/>
          <w:u w:val="single"/>
        </w:rPr>
        <w:t>en</w:t>
      </w:r>
      <w:r w:rsidRPr="00AB57A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 Tarragona una nova obra que interpretaran també a l’Auditori de Barcelona</w:t>
      </w:r>
      <w:r w:rsidRPr="00AB57AE">
        <w:rPr>
          <w:b/>
          <w:sz w:val="28"/>
          <w:szCs w:val="28"/>
          <w:u w:val="single"/>
        </w:rPr>
        <w:t xml:space="preserve"> </w:t>
      </w:r>
    </w:p>
    <w:p w:rsidR="002B53A0" w:rsidRPr="0083068C" w:rsidRDefault="00AB57AE" w:rsidP="00861DDD">
      <w:pPr>
        <w:pStyle w:val="Pargrafdellista"/>
        <w:numPr>
          <w:ilvl w:val="0"/>
          <w:numId w:val="1"/>
        </w:numPr>
        <w:rPr>
          <w:rFonts w:ascii="Calibri" w:hAnsi="Calibri"/>
          <w:i/>
          <w:iCs/>
          <w:color w:val="3333CC"/>
          <w:sz w:val="22"/>
          <w:szCs w:val="22"/>
        </w:rPr>
      </w:pPr>
      <w:r>
        <w:rPr>
          <w:rFonts w:ascii="Calibri" w:hAnsi="Calibri" w:cs="Arial"/>
          <w:i/>
          <w:iCs/>
          <w:color w:val="3333CC"/>
          <w:sz w:val="22"/>
          <w:szCs w:val="22"/>
        </w:rPr>
        <w:t>L’Orquestra</w:t>
      </w:r>
      <w:r w:rsidR="00CD4C56">
        <w:rPr>
          <w:rFonts w:ascii="Calibri" w:hAnsi="Calibri" w:cs="Arial"/>
          <w:i/>
          <w:iCs/>
          <w:color w:val="3333CC"/>
          <w:sz w:val="22"/>
          <w:szCs w:val="22"/>
        </w:rPr>
        <w:t xml:space="preserve"> URV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 xml:space="preserve"> i la Banda de </w:t>
      </w:r>
      <w:r w:rsidR="00CD4C56">
        <w:rPr>
          <w:rFonts w:ascii="Calibri" w:hAnsi="Calibri" w:cs="Arial"/>
          <w:i/>
          <w:iCs/>
          <w:color w:val="3333CC"/>
          <w:sz w:val="22"/>
          <w:szCs w:val="22"/>
        </w:rPr>
        <w:t xml:space="preserve">Música 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 xml:space="preserve">de la URV (Universitat Rovira i Virgili) estrenaran l’obra </w:t>
      </w:r>
      <w:r w:rsidRPr="00AB57AE">
        <w:rPr>
          <w:rFonts w:ascii="Calibri" w:hAnsi="Calibri" w:cs="Arial"/>
          <w:i/>
          <w:iCs/>
          <w:color w:val="3333CC"/>
          <w:sz w:val="22"/>
          <w:szCs w:val="22"/>
        </w:rPr>
        <w:t>"Concert per a gralla i orquestra" d'Elies Espí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 xml:space="preserve">, </w:t>
      </w:r>
      <w:r w:rsidRPr="00AB57AE">
        <w:rPr>
          <w:rFonts w:ascii="Calibri" w:hAnsi="Calibri" w:cs="Arial"/>
          <w:i/>
          <w:iCs/>
          <w:color w:val="3333CC"/>
          <w:sz w:val="22"/>
          <w:szCs w:val="22"/>
        </w:rPr>
        <w:t>la primera peça d'aquestes característiques que es coneix al nostre país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 xml:space="preserve">, en </w:t>
      </w:r>
      <w:r w:rsidR="00CD4C56">
        <w:rPr>
          <w:rFonts w:ascii="Calibri" w:hAnsi="Calibri" w:cs="Arial"/>
          <w:i/>
          <w:iCs/>
          <w:color w:val="3333CC"/>
          <w:sz w:val="22"/>
          <w:szCs w:val="22"/>
        </w:rPr>
        <w:t>una actuació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 xml:space="preserve"> que oferiran dissabte 2 de juny 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>a les 12.30 hores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>,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 xml:space="preserve"> </w:t>
      </w:r>
      <w:r w:rsidRPr="00AB57AE">
        <w:rPr>
          <w:rFonts w:ascii="Calibri" w:hAnsi="Calibri" w:cs="Arial"/>
          <w:i/>
          <w:iCs/>
          <w:color w:val="3333CC"/>
          <w:sz w:val="22"/>
          <w:szCs w:val="22"/>
        </w:rPr>
        <w:t xml:space="preserve">a l'Aula Magna del 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>c</w:t>
      </w:r>
      <w:r w:rsidRPr="00AB57AE">
        <w:rPr>
          <w:rFonts w:ascii="Calibri" w:hAnsi="Calibri" w:cs="Arial"/>
          <w:i/>
          <w:iCs/>
          <w:color w:val="3333CC"/>
          <w:sz w:val="22"/>
          <w:szCs w:val="22"/>
        </w:rPr>
        <w:t>ampus Catalunya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>, a Tarragona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>, on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 xml:space="preserve"> inicien una gira que els durà fins a l’Auditori de Barcelona</w:t>
      </w:r>
      <w:r w:rsidR="00CD4C56">
        <w:rPr>
          <w:rFonts w:ascii="Calibri" w:hAnsi="Calibri" w:cs="Arial"/>
          <w:i/>
          <w:iCs/>
          <w:color w:val="3333CC"/>
          <w:sz w:val="22"/>
          <w:szCs w:val="22"/>
        </w:rPr>
        <w:t>, el 24 de juny</w:t>
      </w:r>
      <w:r>
        <w:rPr>
          <w:rFonts w:ascii="Calibri" w:hAnsi="Calibri" w:cs="Arial"/>
          <w:i/>
          <w:iCs/>
          <w:color w:val="3333CC"/>
          <w:sz w:val="22"/>
          <w:szCs w:val="22"/>
        </w:rPr>
        <w:t>.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 xml:space="preserve"> Serà s</w:t>
      </w:r>
      <w:r w:rsidR="00861DDD" w:rsidRPr="00861DDD">
        <w:rPr>
          <w:rFonts w:ascii="Calibri" w:hAnsi="Calibri" w:cs="Arial"/>
          <w:i/>
          <w:iCs/>
          <w:color w:val="3333CC"/>
          <w:sz w:val="22"/>
          <w:szCs w:val="22"/>
        </w:rPr>
        <w:t>ota la direcció de Marcel Ortega i Martí,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 xml:space="preserve"> i amb</w:t>
      </w:r>
      <w:r w:rsidR="00861DDD" w:rsidRPr="00861DDD">
        <w:rPr>
          <w:rFonts w:ascii="Calibri" w:hAnsi="Calibri" w:cs="Arial"/>
          <w:i/>
          <w:iCs/>
          <w:color w:val="3333CC"/>
          <w:sz w:val="22"/>
          <w:szCs w:val="22"/>
        </w:rPr>
        <w:t xml:space="preserve"> el solista Albert Medina</w:t>
      </w:r>
      <w:r w:rsidR="00861DDD">
        <w:rPr>
          <w:rFonts w:ascii="Calibri" w:hAnsi="Calibri" w:cs="Arial"/>
          <w:i/>
          <w:iCs/>
          <w:color w:val="3333CC"/>
          <w:sz w:val="22"/>
          <w:szCs w:val="22"/>
        </w:rPr>
        <w:t>.</w:t>
      </w:r>
    </w:p>
    <w:p w:rsidR="00E978B7" w:rsidRPr="00861DDD" w:rsidRDefault="00861DDD" w:rsidP="00E978B7">
      <w:pPr>
        <w:rPr>
          <w:rFonts w:cs="Arial"/>
          <w:color w:val="3333CC"/>
        </w:rPr>
      </w:pPr>
      <w:r>
        <w:rPr>
          <w:rFonts w:cs="Arial"/>
          <w:color w:val="3333CC"/>
        </w:rPr>
        <w:t xml:space="preserve">A Tarragona, el programa inclou la interpretació de l’obra, </w:t>
      </w:r>
      <w:r w:rsidRPr="00AB57AE">
        <w:rPr>
          <w:rFonts w:cs="Arial"/>
          <w:i/>
          <w:iCs/>
          <w:color w:val="3333CC"/>
        </w:rPr>
        <w:t>"Concert per a gralla i orquestra" d'Elies Espí</w:t>
      </w:r>
      <w:r>
        <w:rPr>
          <w:rFonts w:cs="Arial"/>
          <w:i/>
          <w:iCs/>
          <w:color w:val="3333CC"/>
        </w:rPr>
        <w:t>,</w:t>
      </w:r>
      <w:r>
        <w:rPr>
          <w:rFonts w:cs="Arial"/>
          <w:color w:val="3333CC"/>
        </w:rPr>
        <w:t xml:space="preserve"> </w:t>
      </w:r>
      <w:r w:rsidRPr="00861DDD">
        <w:rPr>
          <w:rFonts w:cs="Arial"/>
          <w:color w:val="3333CC"/>
        </w:rPr>
        <w:t>un interludi amb la presentació de fragments musicals en detall per part de l'orquestra i una secció de preguntes al compositor i al solista</w:t>
      </w:r>
      <w:r>
        <w:rPr>
          <w:rFonts w:cs="Arial"/>
          <w:color w:val="3333CC"/>
        </w:rPr>
        <w:t>. L’audició finalitzarà amb una nova</w:t>
      </w:r>
      <w:r w:rsidRPr="00861DDD">
        <w:rPr>
          <w:rFonts w:cs="Arial"/>
          <w:color w:val="3333CC"/>
        </w:rPr>
        <w:t xml:space="preserve"> </w:t>
      </w:r>
      <w:r>
        <w:rPr>
          <w:rFonts w:cs="Arial"/>
          <w:color w:val="3333CC"/>
        </w:rPr>
        <w:t>interpretació d’aquesta peça musical</w:t>
      </w:r>
      <w:r w:rsidRPr="00861DDD">
        <w:rPr>
          <w:rFonts w:cs="Arial"/>
          <w:color w:val="3333CC"/>
        </w:rPr>
        <w:t xml:space="preserve"> perquè el públic en pugui gaudir en una segona ocasió</w:t>
      </w:r>
      <w:r>
        <w:rPr>
          <w:rFonts w:cs="Arial"/>
          <w:color w:val="3333CC"/>
        </w:rPr>
        <w:t>.</w:t>
      </w:r>
    </w:p>
    <w:p w:rsidR="004D7314" w:rsidRDefault="00861DDD">
      <w:pPr>
        <w:rPr>
          <w:rFonts w:cs="Arial"/>
          <w:color w:val="3333CC"/>
        </w:rPr>
      </w:pPr>
      <w:r>
        <w:rPr>
          <w:rFonts w:cs="Arial"/>
          <w:color w:val="3333CC"/>
        </w:rPr>
        <w:t>Aquest concert</w:t>
      </w:r>
      <w:r w:rsidRPr="00861DDD">
        <w:rPr>
          <w:rFonts w:cs="Arial"/>
          <w:color w:val="3333CC"/>
        </w:rPr>
        <w:t xml:space="preserve"> forma part del projecte "Innovació i recerca musical a la URV"</w:t>
      </w:r>
      <w:r>
        <w:rPr>
          <w:rFonts w:cs="Arial"/>
          <w:color w:val="3333CC"/>
        </w:rPr>
        <w:t>,</w:t>
      </w:r>
      <w:r w:rsidRPr="00861DDD">
        <w:rPr>
          <w:rFonts w:cs="Arial"/>
          <w:color w:val="3333CC"/>
        </w:rPr>
        <w:t xml:space="preserve"> que consisteix en </w:t>
      </w:r>
      <w:r>
        <w:rPr>
          <w:rFonts w:cs="Arial"/>
          <w:color w:val="3333CC"/>
        </w:rPr>
        <w:t xml:space="preserve">el treball </w:t>
      </w:r>
      <w:r w:rsidRPr="00861DDD">
        <w:rPr>
          <w:rFonts w:cs="Arial"/>
          <w:color w:val="3333CC"/>
        </w:rPr>
        <w:t xml:space="preserve">de noves obres musicals per tal que </w:t>
      </w:r>
      <w:r>
        <w:rPr>
          <w:rFonts w:cs="Arial"/>
          <w:color w:val="3333CC"/>
        </w:rPr>
        <w:t>aquesta Universitat</w:t>
      </w:r>
      <w:r w:rsidRPr="00861DDD">
        <w:rPr>
          <w:rFonts w:cs="Arial"/>
          <w:color w:val="3333CC"/>
        </w:rPr>
        <w:t xml:space="preserve"> se situï en la primera línia de la recerca musical. L'orquestra de la Universitat va tenir el privilegi d'estrenar </w:t>
      </w:r>
      <w:r w:rsidR="00545433">
        <w:rPr>
          <w:rFonts w:cs="Arial"/>
          <w:color w:val="3333CC"/>
        </w:rPr>
        <w:t xml:space="preserve">en el marc d'aquest projecte la </w:t>
      </w:r>
      <w:r w:rsidRPr="00861DDD">
        <w:rPr>
          <w:rFonts w:cs="Arial"/>
          <w:color w:val="3333CC"/>
        </w:rPr>
        <w:t xml:space="preserve">"Simfonia de la Imperial Tàrraco" del compositor de Riudoms Joan Guinjoan l'any 2015. </w:t>
      </w:r>
      <w:r>
        <w:rPr>
          <w:rFonts w:cs="Arial"/>
          <w:color w:val="3333CC"/>
        </w:rPr>
        <w:t>La iniciativa</w:t>
      </w:r>
      <w:r w:rsidRPr="00861DDD">
        <w:rPr>
          <w:rFonts w:cs="Arial"/>
          <w:color w:val="3333CC"/>
        </w:rPr>
        <w:t xml:space="preserve"> pretén posar en valor el talent jove i el vincle amb la música de la nostra terra. Així, Elies Espí és nascut a Torredembarra, Albert Medina a Tarragona i Marcel Ortega a la Secuita. A més, </w:t>
      </w:r>
      <w:r>
        <w:rPr>
          <w:rFonts w:cs="Arial"/>
          <w:color w:val="3333CC"/>
        </w:rPr>
        <w:t xml:space="preserve">amb el </w:t>
      </w:r>
      <w:r w:rsidRPr="00861DDD">
        <w:rPr>
          <w:rFonts w:cs="Arial"/>
          <w:color w:val="3333CC"/>
        </w:rPr>
        <w:t>"Co</w:t>
      </w:r>
      <w:r>
        <w:rPr>
          <w:rFonts w:cs="Arial"/>
          <w:color w:val="3333CC"/>
        </w:rPr>
        <w:t>ncert per a gralla i orquestra" es durà a terme</w:t>
      </w:r>
      <w:r w:rsidRPr="00861DDD">
        <w:rPr>
          <w:rFonts w:cs="Arial"/>
          <w:color w:val="3333CC"/>
        </w:rPr>
        <w:t xml:space="preserve"> una gira </w:t>
      </w:r>
      <w:r>
        <w:rPr>
          <w:rFonts w:cs="Arial"/>
          <w:color w:val="3333CC"/>
        </w:rPr>
        <w:t>per Catalunya</w:t>
      </w:r>
      <w:r w:rsidRPr="00861DDD">
        <w:rPr>
          <w:rFonts w:cs="Arial"/>
          <w:color w:val="3333CC"/>
        </w:rPr>
        <w:t xml:space="preserve"> </w:t>
      </w:r>
      <w:r>
        <w:rPr>
          <w:rFonts w:cs="Arial"/>
          <w:color w:val="3333CC"/>
        </w:rPr>
        <w:t>de la qual en destaca l’actuació</w:t>
      </w:r>
      <w:r w:rsidRPr="00861DDD">
        <w:rPr>
          <w:rFonts w:cs="Arial"/>
          <w:color w:val="3333CC"/>
        </w:rPr>
        <w:t xml:space="preserve"> a l'Auditori de Barcelona</w:t>
      </w:r>
      <w:r w:rsidR="00CD4C56">
        <w:rPr>
          <w:rFonts w:cs="Arial"/>
          <w:color w:val="3333CC"/>
        </w:rPr>
        <w:t>, el 24 de juny,</w:t>
      </w:r>
      <w:r w:rsidRPr="00861DDD">
        <w:rPr>
          <w:rFonts w:cs="Arial"/>
          <w:color w:val="3333CC"/>
        </w:rPr>
        <w:t xml:space="preserve"> i la publicació</w:t>
      </w:r>
      <w:r w:rsidR="00CD4C56">
        <w:rPr>
          <w:rFonts w:cs="Arial"/>
          <w:color w:val="3333CC"/>
        </w:rPr>
        <w:t xml:space="preserve"> d</w:t>
      </w:r>
      <w:r>
        <w:rPr>
          <w:rFonts w:cs="Arial"/>
          <w:color w:val="3333CC"/>
        </w:rPr>
        <w:t>e</w:t>
      </w:r>
      <w:r w:rsidR="00CD4C56">
        <w:rPr>
          <w:rFonts w:cs="Arial"/>
          <w:color w:val="3333CC"/>
        </w:rPr>
        <w:t xml:space="preserve"> </w:t>
      </w:r>
      <w:r>
        <w:rPr>
          <w:rFonts w:cs="Arial"/>
          <w:color w:val="3333CC"/>
        </w:rPr>
        <w:t>l’obra</w:t>
      </w:r>
      <w:r w:rsidR="001D288D">
        <w:rPr>
          <w:rFonts w:cs="Arial"/>
          <w:color w:val="3333CC"/>
        </w:rPr>
        <w:t xml:space="preserve"> per part de l'editorial Ficta</w:t>
      </w:r>
      <w:bookmarkStart w:id="0" w:name="_GoBack"/>
      <w:bookmarkEnd w:id="0"/>
      <w:r w:rsidRPr="00861DDD">
        <w:rPr>
          <w:rFonts w:cs="Arial"/>
          <w:color w:val="3333CC"/>
        </w:rPr>
        <w:t xml:space="preserve"> de Girona.</w:t>
      </w:r>
    </w:p>
    <w:p w:rsidR="004D7314" w:rsidRDefault="004D7314">
      <w:pPr>
        <w:rPr>
          <w:rFonts w:cs="Arial"/>
          <w:color w:val="3333CC"/>
        </w:rPr>
      </w:pPr>
    </w:p>
    <w:tbl>
      <w:tblPr>
        <w:tblW w:w="992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7314" w:rsidRPr="004D7314" w:rsidTr="00FD1657">
        <w:trPr>
          <w:tblCellSpacing w:w="15" w:type="dxa"/>
        </w:trPr>
        <w:tc>
          <w:tcPr>
            <w:tcW w:w="98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314" w:rsidRPr="004D7314" w:rsidRDefault="004D7314" w:rsidP="004D7314">
            <w:pPr>
              <w:spacing w:after="240" w:line="252" w:lineRule="auto"/>
              <w:rPr>
                <w:rFonts w:ascii="Noto Sans" w:hAnsi="Noto Sans" w:cs="Calibri"/>
              </w:rPr>
            </w:pPr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20"/>
                <w:szCs w:val="20"/>
              </w:rPr>
              <w:t>Per resoldre qualsevol dubte o donar-se de baixa de la llista de distribució de notes de premsa de la URV posi’s en contacte amb:</w:t>
            </w:r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br/>
              <w:t xml:space="preserve">Para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resolver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cualquier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duda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o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darse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de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baja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de la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lista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de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distribución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de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notas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de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prensa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de la URV </w:t>
            </w:r>
            <w:proofErr w:type="spellStart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>póngase</w:t>
            </w:r>
            <w:proofErr w:type="spellEnd"/>
            <w:r w:rsidRPr="004D7314">
              <w:rPr>
                <w:rFonts w:ascii="Noto Sans" w:hAnsi="Noto Sans" w:cs="Calibri"/>
                <w:b/>
                <w:bCs/>
                <w:i/>
                <w:iCs/>
                <w:color w:val="999999"/>
                <w:sz w:val="15"/>
                <w:szCs w:val="15"/>
              </w:rPr>
              <w:t xml:space="preserve"> en contacto con: </w:t>
            </w:r>
          </w:p>
          <w:p w:rsidR="004D7314" w:rsidRPr="004D7314" w:rsidRDefault="001D288D" w:rsidP="004D7314">
            <w:pPr>
              <w:spacing w:after="0" w:line="252" w:lineRule="auto"/>
              <w:jc w:val="center"/>
              <w:rPr>
                <w:rFonts w:ascii="Noto Sans" w:eastAsia="Times New Roman" w:hAnsi="Noto Sans" w:cs="Calibri"/>
              </w:rPr>
            </w:pPr>
            <w:r>
              <w:rPr>
                <w:rFonts w:ascii="Noto Sans" w:eastAsia="Times New Roman" w:hAnsi="Noto Sans" w:cs="Calibri"/>
              </w:rPr>
              <w:pict>
                <v:rect id="_x0000_i1025" style="width:490.05pt;height:1.5pt" o:hralign="center" o:hrstd="t" o:hr="t" fillcolor="#aca899" stroked="f"/>
              </w:pic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b/>
                <w:bCs/>
                <w:noProof/>
                <w:lang w:eastAsia="ca-ES"/>
              </w:rPr>
            </w:pPr>
            <w:bookmarkStart w:id="1" w:name="_MailAutoSig"/>
            <w:r w:rsidRPr="00C95F93">
              <w:rPr>
                <w:rFonts w:eastAsia="Times New Roman"/>
                <w:b/>
                <w:bCs/>
                <w:noProof/>
                <w:lang w:eastAsia="ca-ES"/>
              </w:rPr>
              <w:t>Gabinet de Comunicació i Relacions Externes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Universitat Rovira i Virgili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--------------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 xml:space="preserve">A/e: </w:t>
            </w:r>
            <w:hyperlink r:id="rId7" w:history="1">
              <w:r w:rsidRPr="00C95F93">
                <w:rPr>
                  <w:rFonts w:eastAsia="Times New Roman"/>
                  <w:noProof/>
                  <w:color w:val="0000FF"/>
                  <w:sz w:val="20"/>
                  <w:szCs w:val="20"/>
                  <w:u w:val="single"/>
                  <w:lang w:eastAsia="ca-ES"/>
                </w:rPr>
                <w:t>gc@urv.cat</w:t>
              </w:r>
            </w:hyperlink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 xml:space="preserve">Tel.: 977 55 </w:t>
            </w:r>
            <w:r w:rsidRPr="00C95F93">
              <w:rPr>
                <w:rFonts w:eastAsia="Times New Roman"/>
                <w:b/>
                <w:bCs/>
                <w:noProof/>
                <w:sz w:val="20"/>
                <w:szCs w:val="20"/>
                <w:lang w:eastAsia="ca-ES"/>
              </w:rPr>
              <w:t>8024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--------------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Rectorat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lastRenderedPageBreak/>
              <w:t>Carrer de l'Escorxador, s/n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43003 - Tarragona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--------------</w:t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lang w:eastAsia="ca-ES"/>
              </w:rPr>
              <w:drawing>
                <wp:inline distT="0" distB="0" distL="0" distR="0" wp14:anchorId="77C8CC97" wp14:editId="1364618C">
                  <wp:extent cx="1905000" cy="571500"/>
                  <wp:effectExtent l="0" t="0" r="0" b="0"/>
                  <wp:docPr id="5" name="Imatge 5" descr="http://www.urv.cat/c1/u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5" descr="http://www.urv.cat/c1/u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F93" w:rsidRPr="00C95F93" w:rsidRDefault="001D288D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hyperlink r:id="rId9" w:history="1">
              <w:r w:rsidR="00C95F93" w:rsidRPr="00C95F93">
                <w:rPr>
                  <w:rFonts w:eastAsia="Times New Roman"/>
                  <w:noProof/>
                  <w:color w:val="0000FF"/>
                  <w:sz w:val="20"/>
                  <w:szCs w:val="20"/>
                  <w:u w:val="single"/>
                  <w:lang w:eastAsia="ca-ES"/>
                </w:rPr>
                <w:t>www.urv.cat</w:t>
              </w:r>
            </w:hyperlink>
            <w:r w:rsidR="00C95F93"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 xml:space="preserve">         </w:t>
            </w:r>
            <w:r w:rsidR="00C95F93"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6D5DB629" wp14:editId="4FA2B995">
                  <wp:extent cx="171450" cy="161925"/>
                  <wp:effectExtent l="0" t="0" r="0" b="9525"/>
                  <wp:docPr id="6" name="Imatge 6" descr="http://www.urv.cat/c1/f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6" descr="http://www.urv.cat/c1/f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5F93"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 </w:t>
            </w:r>
            <w:r w:rsidR="00C95F93"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3F224618" wp14:editId="52C32C67">
                  <wp:extent cx="171450" cy="161925"/>
                  <wp:effectExtent l="0" t="0" r="0" b="9525"/>
                  <wp:docPr id="7" name="Imatge 7" descr="http://www.urv.cat/c1/l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7" descr="http://www.urv.cat/c1/l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5F93"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 </w:t>
            </w:r>
            <w:r w:rsidR="00C95F93"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20E7E2A8" wp14:editId="4C63FEE7">
                  <wp:extent cx="171450" cy="161925"/>
                  <wp:effectExtent l="0" t="0" r="0" b="9525"/>
                  <wp:docPr id="8" name="Imatge 8" descr="http://www.urv.cat/c1/t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8" descr="http://www.urv.cat/c1/t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</w:p>
          <w:p w:rsidR="00C95F93" w:rsidRPr="00C95F93" w:rsidRDefault="00C95F93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r w:rsidRPr="00C95F93">
              <w:rPr>
                <w:rFonts w:eastAsia="Times New Roman"/>
                <w:noProof/>
                <w:sz w:val="20"/>
                <w:szCs w:val="20"/>
                <w:lang w:eastAsia="ca-ES"/>
              </w:rPr>
              <w:t>Aquest missatge és confidencial.</w:t>
            </w:r>
          </w:p>
          <w:p w:rsidR="00C95F93" w:rsidRPr="00C95F93" w:rsidRDefault="001D288D" w:rsidP="00C95F93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ca-ES"/>
              </w:rPr>
            </w:pPr>
            <w:hyperlink r:id="rId16" w:history="1">
              <w:r w:rsidR="00C95F93" w:rsidRPr="00C95F93">
                <w:rPr>
                  <w:rFonts w:eastAsia="Times New Roman"/>
                  <w:noProof/>
                  <w:color w:val="0000FF"/>
                  <w:sz w:val="20"/>
                  <w:szCs w:val="20"/>
                  <w:u w:val="single"/>
                  <w:lang w:eastAsia="ca-ES"/>
                </w:rPr>
                <w:t>Vegeu-ne les condicions legals</w:t>
              </w:r>
            </w:hyperlink>
          </w:p>
          <w:bookmarkEnd w:id="1"/>
          <w:p w:rsidR="00C95F93" w:rsidRPr="00C95F93" w:rsidRDefault="00C95F93" w:rsidP="00C95F93">
            <w:pPr>
              <w:spacing w:after="0" w:line="240" w:lineRule="auto"/>
            </w:pPr>
          </w:p>
          <w:p w:rsidR="004D7314" w:rsidRPr="004D7314" w:rsidRDefault="00C95F93" w:rsidP="00C95F93">
            <w:pPr>
              <w:spacing w:after="240" w:line="252" w:lineRule="auto"/>
              <w:rPr>
                <w:rFonts w:ascii="Noto Sans" w:hAnsi="Noto Sans" w:cs="Calibri"/>
              </w:rPr>
            </w:pPr>
            <w:r w:rsidRPr="004D7314">
              <w:rPr>
                <w:rFonts w:ascii="Noto Sans" w:hAnsi="Noto Sans" w:cs="Calibri"/>
              </w:rPr>
              <w:t xml:space="preserve"> </w:t>
            </w:r>
          </w:p>
        </w:tc>
      </w:tr>
    </w:tbl>
    <w:p w:rsidR="004D7314" w:rsidRPr="004D7314" w:rsidRDefault="004D7314" w:rsidP="004D7314">
      <w:pPr>
        <w:spacing w:after="0" w:line="240" w:lineRule="auto"/>
        <w:rPr>
          <w:rFonts w:cs="Calibri"/>
        </w:rPr>
      </w:pPr>
    </w:p>
    <w:p w:rsidR="004D7314" w:rsidRPr="00E978B7" w:rsidRDefault="004D7314">
      <w:pPr>
        <w:rPr>
          <w:rFonts w:cs="Arial"/>
          <w:color w:val="3333CC"/>
        </w:rPr>
      </w:pPr>
    </w:p>
    <w:sectPr w:rsidR="004D7314" w:rsidRPr="00E978B7" w:rsidSect="006545BD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18" w:rsidRDefault="00966718" w:rsidP="006545BD">
      <w:pPr>
        <w:spacing w:after="0" w:line="240" w:lineRule="auto"/>
      </w:pPr>
      <w:r>
        <w:separator/>
      </w:r>
    </w:p>
  </w:endnote>
  <w:endnote w:type="continuationSeparator" w:id="0">
    <w:p w:rsidR="00966718" w:rsidRDefault="00966718" w:rsidP="006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D5" w:rsidRDefault="00EB09D5" w:rsidP="00495FD6">
    <w:pPr>
      <w:widowControl w:val="0"/>
      <w:suppressAutoHyphens/>
      <w:spacing w:after="0"/>
      <w:rPr>
        <w:rFonts w:ascii="Optima" w:eastAsia="DejaVu Sans" w:hAnsi="Optima" w:cs="Lohit Hindi"/>
        <w:color w:val="800000"/>
        <w:spacing w:val="40"/>
        <w:sz w:val="16"/>
        <w:szCs w:val="16"/>
        <w:lang w:eastAsia="zh-CN" w:bidi="hi-IN"/>
      </w:rPr>
    </w:pPr>
  </w:p>
  <w:p w:rsidR="006545BD" w:rsidRDefault="006545B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18" w:rsidRDefault="00966718" w:rsidP="006545BD">
      <w:pPr>
        <w:spacing w:after="0" w:line="240" w:lineRule="auto"/>
      </w:pPr>
      <w:r>
        <w:separator/>
      </w:r>
    </w:p>
  </w:footnote>
  <w:footnote w:type="continuationSeparator" w:id="0">
    <w:p w:rsidR="00966718" w:rsidRDefault="00966718" w:rsidP="0065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D" w:rsidRDefault="006545BD" w:rsidP="006545BD">
    <w:pPr>
      <w:pStyle w:val="Capalera"/>
    </w:pPr>
  </w:p>
  <w:p w:rsidR="006545BD" w:rsidRPr="002D44D6" w:rsidRDefault="006545BD" w:rsidP="006545B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6AA"/>
    <w:multiLevelType w:val="hybridMultilevel"/>
    <w:tmpl w:val="3BCECD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9"/>
    <w:rsid w:val="00006DB9"/>
    <w:rsid w:val="00100480"/>
    <w:rsid w:val="001D288D"/>
    <w:rsid w:val="002B53A0"/>
    <w:rsid w:val="003000D3"/>
    <w:rsid w:val="003752EC"/>
    <w:rsid w:val="003E6EF6"/>
    <w:rsid w:val="003F0500"/>
    <w:rsid w:val="00495FD6"/>
    <w:rsid w:val="004D5164"/>
    <w:rsid w:val="004D7314"/>
    <w:rsid w:val="004E406E"/>
    <w:rsid w:val="00545433"/>
    <w:rsid w:val="00597276"/>
    <w:rsid w:val="006545BD"/>
    <w:rsid w:val="00683466"/>
    <w:rsid w:val="006C0DB6"/>
    <w:rsid w:val="008271FC"/>
    <w:rsid w:val="0083068C"/>
    <w:rsid w:val="00861DDD"/>
    <w:rsid w:val="008B45AF"/>
    <w:rsid w:val="00907F04"/>
    <w:rsid w:val="00966718"/>
    <w:rsid w:val="009717B3"/>
    <w:rsid w:val="009D4D7F"/>
    <w:rsid w:val="00AB57AE"/>
    <w:rsid w:val="00B05639"/>
    <w:rsid w:val="00C421F4"/>
    <w:rsid w:val="00C95F93"/>
    <w:rsid w:val="00CD4C56"/>
    <w:rsid w:val="00D46709"/>
    <w:rsid w:val="00E061CB"/>
    <w:rsid w:val="00E410AA"/>
    <w:rsid w:val="00E978B7"/>
    <w:rsid w:val="00EB09D5"/>
    <w:rsid w:val="00ED24AE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38EFB7C-5D22-4CC8-821E-CD91257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86"/>
    <w:pPr>
      <w:spacing w:after="200" w:line="276" w:lineRule="auto"/>
    </w:pPr>
    <w:rPr>
      <w:sz w:val="22"/>
      <w:szCs w:val="22"/>
      <w:lang w:val="ca-ES" w:eastAsia="en-US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2B53A0"/>
    <w:pPr>
      <w:keepNext/>
      <w:spacing w:after="0" w:line="240" w:lineRule="auto"/>
      <w:outlineLvl w:val="5"/>
    </w:pPr>
    <w:rPr>
      <w:rFonts w:ascii="Verdana" w:eastAsia="Times New Roman" w:hAnsi="Verdana"/>
      <w:b/>
      <w:i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C0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0DB6"/>
  </w:style>
  <w:style w:type="paragraph" w:styleId="Peu">
    <w:name w:val="footer"/>
    <w:basedOn w:val="Normal"/>
    <w:link w:val="PeuCar"/>
    <w:uiPriority w:val="99"/>
    <w:unhideWhenUsed/>
    <w:rsid w:val="006C0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0DB6"/>
  </w:style>
  <w:style w:type="paragraph" w:styleId="Textdeglobus">
    <w:name w:val="Balloon Text"/>
    <w:basedOn w:val="Normal"/>
    <w:link w:val="TextdeglobusCar"/>
    <w:uiPriority w:val="99"/>
    <w:semiHidden/>
    <w:unhideWhenUsed/>
    <w:rsid w:val="006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C0DB6"/>
    <w:rPr>
      <w:rFonts w:ascii="Tahoma" w:hAnsi="Tahoma" w:cs="Tahoma"/>
      <w:sz w:val="16"/>
      <w:szCs w:val="16"/>
    </w:rPr>
  </w:style>
  <w:style w:type="character" w:customStyle="1" w:styleId="Ttol6Car">
    <w:name w:val="Títol 6 Car"/>
    <w:link w:val="Ttol6"/>
    <w:semiHidden/>
    <w:rsid w:val="002B53A0"/>
    <w:rPr>
      <w:rFonts w:ascii="Verdana" w:eastAsia="Times New Roman" w:hAnsi="Verdana"/>
      <w:b/>
      <w:i/>
    </w:rPr>
  </w:style>
  <w:style w:type="character" w:customStyle="1" w:styleId="hps">
    <w:name w:val="hps"/>
    <w:basedOn w:val="Tipusdelletraperdefectedelpargraf"/>
    <w:rsid w:val="002B53A0"/>
  </w:style>
  <w:style w:type="paragraph" w:styleId="Pargrafdellista">
    <w:name w:val="List Paragraph"/>
    <w:basedOn w:val="Normal"/>
    <w:uiPriority w:val="34"/>
    <w:qFormat/>
    <w:rsid w:val="002B53A0"/>
    <w:pPr>
      <w:widowControl w:val="0"/>
      <w:suppressAutoHyphens/>
      <w:ind w:left="720"/>
      <w:contextualSpacing/>
    </w:pPr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styleId="Enlla">
    <w:name w:val="Hyperlink"/>
    <w:uiPriority w:val="99"/>
    <w:unhideWhenUsed/>
    <w:rsid w:val="0049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@urv.cat" TargetMode="External"/><Relationship Id="rId12" Type="http://schemas.openxmlformats.org/officeDocument/2006/relationships/hyperlink" Target="https://www.linkedin.com/company/universitatur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v.cat/ca/universitat/comunicacio/web/legal/a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universitatUR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v.cat/" TargetMode="External"/><Relationship Id="rId14" Type="http://schemas.openxmlformats.org/officeDocument/2006/relationships/hyperlink" Target="https://twitter.com/universitatUR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5073447-B\AppData\Roaming\Microsoft\Plantillas\00%20Nota%20de%20prems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Nota de premsa</Template>
  <TotalTime>32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Maria Cinta Sanz Bellmunt</cp:lastModifiedBy>
  <cp:revision>12</cp:revision>
  <cp:lastPrinted>2013-02-07T09:41:00Z</cp:lastPrinted>
  <dcterms:created xsi:type="dcterms:W3CDTF">2015-05-06T07:30:00Z</dcterms:created>
  <dcterms:modified xsi:type="dcterms:W3CDTF">2018-05-29T10:07:00Z</dcterms:modified>
</cp:coreProperties>
</file>